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FC204E" w14:textId="48A5B3E7" w:rsidR="00163AE6" w:rsidRPr="00BC03FC" w:rsidRDefault="00377B94" w:rsidP="00163AE6">
      <w:pPr>
        <w:pStyle w:val="3GPPHeader"/>
        <w:spacing w:after="60"/>
      </w:pPr>
      <w:bookmarkStart w:id="0" w:name="_GoBack"/>
      <w:bookmarkEnd w:id="0"/>
      <w:r w:rsidRPr="00BC03FC">
        <w:t>3GPP TSG-RAN WG2 #9</w:t>
      </w:r>
      <w:r w:rsidR="006E0982">
        <w:t>9</w:t>
      </w:r>
      <w:r w:rsidR="006E0E05">
        <w:t>-</w:t>
      </w:r>
      <w:r w:rsidR="006E0982">
        <w:t>bis on NR</w:t>
      </w:r>
      <w:r w:rsidR="00163AE6" w:rsidRPr="00BC03FC">
        <w:tab/>
        <w:t xml:space="preserve">Tdoc </w:t>
      </w:r>
      <w:r w:rsidR="002C358C" w:rsidRPr="002C358C">
        <w:t>R2-1710849</w:t>
      </w:r>
    </w:p>
    <w:p w14:paraId="37703138" w14:textId="29F46AF4" w:rsidR="00163AE6" w:rsidRPr="006E0E05" w:rsidRDefault="006E0982" w:rsidP="00163AE6">
      <w:pPr>
        <w:pStyle w:val="3GPPHeader"/>
        <w:spacing w:after="60"/>
        <w:rPr>
          <w:b w:val="0"/>
          <w:noProof/>
          <w:sz w:val="28"/>
        </w:rPr>
      </w:pPr>
      <w:bookmarkStart w:id="1" w:name="_Hlk492541263"/>
      <w:r>
        <w:t>Prague, Czech, October 9</w:t>
      </w:r>
      <w:r w:rsidRPr="00043557">
        <w:rPr>
          <w:vertAlign w:val="superscript"/>
        </w:rPr>
        <w:t>th</w:t>
      </w:r>
      <w:r>
        <w:t xml:space="preserve"> – 13</w:t>
      </w:r>
      <w:r w:rsidRPr="00043557">
        <w:rPr>
          <w:vertAlign w:val="superscript"/>
        </w:rPr>
        <w:t>th</w:t>
      </w:r>
      <w:r>
        <w:t>, 2017</w:t>
      </w:r>
      <w:bookmarkEnd w:id="1"/>
      <w:r w:rsidR="00163AE6">
        <w:rPr>
          <w:lang w:val="en-US"/>
        </w:rPr>
        <w:tab/>
      </w:r>
      <w:r w:rsidR="00F10A14" w:rsidRPr="006E0E05">
        <w:rPr>
          <w:sz w:val="18"/>
          <w:lang w:val="en-US"/>
        </w:rPr>
        <w:t>(resubmission of</w:t>
      </w:r>
      <w:r w:rsidR="008B0044">
        <w:rPr>
          <w:sz w:val="18"/>
          <w:lang w:val="en-US"/>
        </w:rPr>
        <w:t xml:space="preserve"> </w:t>
      </w:r>
      <w:r w:rsidR="008B0044" w:rsidRPr="008B0044">
        <w:rPr>
          <w:sz w:val="18"/>
          <w:lang w:val="en-US"/>
        </w:rPr>
        <w:t>R2-17</w:t>
      </w:r>
      <w:r w:rsidR="0056145F">
        <w:rPr>
          <w:sz w:val="18"/>
          <w:lang w:val="en-US"/>
        </w:rPr>
        <w:t>07858</w:t>
      </w:r>
      <w:r w:rsidR="00F10A14" w:rsidRPr="006E0E05">
        <w:rPr>
          <w:sz w:val="18"/>
          <w:lang w:val="en-US"/>
        </w:rPr>
        <w:t>)</w:t>
      </w:r>
    </w:p>
    <w:p w14:paraId="56C12257" w14:textId="7270D1F8" w:rsidR="00E90E49" w:rsidRPr="00CE0424" w:rsidRDefault="00E90E49" w:rsidP="00357380">
      <w:pPr>
        <w:pStyle w:val="3GPPHeader"/>
      </w:pPr>
    </w:p>
    <w:p w14:paraId="4A4F422A" w14:textId="3EA31DD2" w:rsidR="00E90E49" w:rsidRPr="000839C7" w:rsidRDefault="00E90E49" w:rsidP="00311702">
      <w:pPr>
        <w:pStyle w:val="3GPPHeader"/>
        <w:rPr>
          <w:sz w:val="22"/>
          <w:szCs w:val="22"/>
          <w:lang w:val="en-US"/>
        </w:rPr>
      </w:pPr>
      <w:r w:rsidRPr="000839C7">
        <w:rPr>
          <w:sz w:val="22"/>
          <w:szCs w:val="22"/>
          <w:lang w:val="en-US"/>
        </w:rPr>
        <w:t>Agenda Item:</w:t>
      </w:r>
      <w:r w:rsidRPr="000839C7">
        <w:rPr>
          <w:sz w:val="22"/>
          <w:szCs w:val="22"/>
          <w:lang w:val="en-US"/>
        </w:rPr>
        <w:tab/>
      </w:r>
      <w:r w:rsidR="00704B91">
        <w:rPr>
          <w:sz w:val="22"/>
          <w:szCs w:val="22"/>
          <w:lang w:val="en-US"/>
        </w:rPr>
        <w:t>10.2.10 – NR – Stage-2 – Mobility mechanisms – Other</w:t>
      </w:r>
    </w:p>
    <w:p w14:paraId="5DAA27F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CB047E" w14:textId="0EC1771F" w:rsidR="00E90E49" w:rsidRPr="00CE0424" w:rsidRDefault="003D3C45" w:rsidP="00311702">
      <w:pPr>
        <w:pStyle w:val="3GPPHeader"/>
        <w:rPr>
          <w:sz w:val="22"/>
          <w:szCs w:val="22"/>
        </w:rPr>
      </w:pPr>
      <w:r>
        <w:rPr>
          <w:sz w:val="22"/>
          <w:szCs w:val="22"/>
        </w:rPr>
        <w:t>Title:</w:t>
      </w:r>
      <w:r w:rsidR="00E90E49" w:rsidRPr="00CE0424">
        <w:rPr>
          <w:sz w:val="22"/>
          <w:szCs w:val="22"/>
        </w:rPr>
        <w:tab/>
      </w:r>
      <w:r w:rsidR="00F6640F">
        <w:rPr>
          <w:sz w:val="22"/>
          <w:szCs w:val="22"/>
        </w:rPr>
        <w:t>Enhancing Handover Failure</w:t>
      </w:r>
    </w:p>
    <w:p w14:paraId="65935703" w14:textId="593F1DD8" w:rsidR="00E90E49" w:rsidRPr="007D51F4" w:rsidRDefault="00E90E49" w:rsidP="007D51F4">
      <w:pPr>
        <w:pStyle w:val="3GPPHeader"/>
        <w:rPr>
          <w:sz w:val="22"/>
          <w:szCs w:val="22"/>
        </w:rPr>
      </w:pPr>
      <w:r w:rsidRPr="00CE0424">
        <w:rPr>
          <w:sz w:val="22"/>
          <w:szCs w:val="22"/>
        </w:rPr>
        <w:t>Document for:</w:t>
      </w:r>
      <w:r w:rsidRPr="00CE0424">
        <w:rPr>
          <w:sz w:val="22"/>
          <w:szCs w:val="22"/>
        </w:rPr>
        <w:tab/>
      </w:r>
      <w:r w:rsidRPr="00FD6EE4">
        <w:rPr>
          <w:sz w:val="22"/>
          <w:szCs w:val="22"/>
        </w:rPr>
        <w:t>Discussion, Decision</w:t>
      </w:r>
    </w:p>
    <w:p w14:paraId="607E06CC" w14:textId="77777777" w:rsidR="00E90E49" w:rsidRPr="00CE0424" w:rsidRDefault="00E90E49" w:rsidP="00CE0424">
      <w:pPr>
        <w:pStyle w:val="Heading1"/>
      </w:pPr>
      <w:bookmarkStart w:id="2" w:name="_Ref471484523"/>
      <w:r w:rsidRPr="00CE0424">
        <w:t>Introduction</w:t>
      </w:r>
      <w:bookmarkEnd w:id="2"/>
    </w:p>
    <w:p w14:paraId="01C9F966" w14:textId="5753F771" w:rsidR="00FF371B" w:rsidRDefault="00853878" w:rsidP="00CE0424">
      <w:pPr>
        <w:pStyle w:val="BodyText"/>
      </w:pPr>
      <w:r>
        <w:t>RAN2-9</w:t>
      </w:r>
      <w:r w:rsidR="00E25A33">
        <w:t>7</w:t>
      </w:r>
      <w:r>
        <w:t xml:space="preserve"> </w:t>
      </w:r>
      <w:r w:rsidR="00E25A33">
        <w:t xml:space="preserve">discussed based on </w:t>
      </w:r>
      <w:r w:rsidR="00E25A33">
        <w:fldChar w:fldCharType="begin"/>
      </w:r>
      <w:r w:rsidR="00E25A33">
        <w:instrText xml:space="preserve"> REF _Ref477726095 \n \h </w:instrText>
      </w:r>
      <w:r w:rsidR="00E25A33">
        <w:fldChar w:fldCharType="separate"/>
      </w:r>
      <w:r w:rsidR="006E0E05">
        <w:t>[1]</w:t>
      </w:r>
      <w:r w:rsidR="00E25A33">
        <w:fldChar w:fldCharType="end"/>
      </w:r>
      <w:r w:rsidR="00E25A33">
        <w:t xml:space="preserve"> </w:t>
      </w:r>
      <w:r>
        <w:t xml:space="preserve">whether NR should support a “conditional handover” to reduce the handover failures compared to LTE. </w:t>
      </w:r>
      <w:r w:rsidR="00FF371B">
        <w:t xml:space="preserve">While most companies supported such enhancement, the decision was postponed to allow investigating also alternative solutions, primarily the one in </w:t>
      </w:r>
      <w:r w:rsidR="00FF371B" w:rsidRPr="00182866">
        <w:fldChar w:fldCharType="begin"/>
      </w:r>
      <w:r w:rsidR="00FF371B" w:rsidRPr="00182866">
        <w:instrText xml:space="preserve"> REF _Ref477970055 \r \h  \* MERGEFORMAT </w:instrText>
      </w:r>
      <w:r w:rsidR="00FF371B" w:rsidRPr="00182866">
        <w:fldChar w:fldCharType="separate"/>
      </w:r>
      <w:r w:rsidR="006E0E05">
        <w:t>[2]</w:t>
      </w:r>
      <w:r w:rsidR="00FF371B" w:rsidRPr="00182866">
        <w:fldChar w:fldCharType="end"/>
      </w:r>
      <w:r w:rsidR="00FF371B">
        <w:t>.</w:t>
      </w:r>
    </w:p>
    <w:p w14:paraId="6334941A" w14:textId="39DE5DA5" w:rsidR="00853878" w:rsidRPr="00CE0424" w:rsidRDefault="00853878" w:rsidP="00CE0424">
      <w:pPr>
        <w:pStyle w:val="BodyText"/>
      </w:pPr>
      <w:r>
        <w:t xml:space="preserve">In this document we </w:t>
      </w:r>
      <w:r w:rsidR="00FF371B">
        <w:t xml:space="preserve">discuss the solution proposed in </w:t>
      </w:r>
      <w:r w:rsidR="00FF371B" w:rsidRPr="00182866">
        <w:fldChar w:fldCharType="begin"/>
      </w:r>
      <w:r w:rsidR="00FF371B" w:rsidRPr="00182866">
        <w:instrText xml:space="preserve"> REF _Ref477970055 \r \h  \* MERGEFORMAT </w:instrText>
      </w:r>
      <w:r w:rsidR="00FF371B" w:rsidRPr="00182866">
        <w:fldChar w:fldCharType="separate"/>
      </w:r>
      <w:r w:rsidR="006E0E05">
        <w:t>[2]</w:t>
      </w:r>
      <w:r w:rsidR="00FF371B" w:rsidRPr="00182866">
        <w:fldChar w:fldCharType="end"/>
      </w:r>
      <w:r w:rsidR="00FF371B">
        <w:t xml:space="preserve"> and conclude that it should be seen as a solution to accelerate the recovery from handover failure</w:t>
      </w:r>
      <w:r w:rsidR="00885853">
        <w:t xml:space="preserve"> and that it has similarities with T312 which should also be adopted for NR</w:t>
      </w:r>
      <w:r w:rsidR="00FF371B">
        <w:t xml:space="preserve">.  </w:t>
      </w:r>
    </w:p>
    <w:p w14:paraId="1464B51B" w14:textId="06A1B38C" w:rsidR="00262D9A" w:rsidRPr="00182866" w:rsidRDefault="00FF371B" w:rsidP="00262D9A">
      <w:pPr>
        <w:pStyle w:val="Heading1"/>
      </w:pPr>
      <w:bookmarkStart w:id="3" w:name="_Ref477972990"/>
      <w:r>
        <w:t>Discussion</w:t>
      </w:r>
      <w:bookmarkEnd w:id="3"/>
    </w:p>
    <w:p w14:paraId="22328B69" w14:textId="24D3AA46" w:rsidR="00423DCB" w:rsidRPr="00182866" w:rsidRDefault="00423DCB" w:rsidP="00423DCB">
      <w:r w:rsidRPr="00182866">
        <w:t xml:space="preserve">In </w:t>
      </w:r>
      <w:r w:rsidRPr="00182866">
        <w:fldChar w:fldCharType="begin"/>
      </w:r>
      <w:r w:rsidRPr="00182866">
        <w:instrText xml:space="preserve"> REF _Ref477970055 \r \h </w:instrText>
      </w:r>
      <w:r w:rsidR="00DE4EA4" w:rsidRPr="00182866">
        <w:instrText xml:space="preserve"> \* MERGEFORMAT </w:instrText>
      </w:r>
      <w:r w:rsidRPr="00182866">
        <w:fldChar w:fldCharType="separate"/>
      </w:r>
      <w:r w:rsidR="006E0E05">
        <w:t>[2]</w:t>
      </w:r>
      <w:r w:rsidRPr="00182866">
        <w:fldChar w:fldCharType="end"/>
      </w:r>
      <w:r w:rsidRPr="00182866">
        <w:t xml:space="preserve"> it was suggested that an NR UE may perform autonomous mobility towards a detected and reported candidate cell if it does not receive a handover command within a certain time. Hence, unlike the T312 timer, the solution described in </w:t>
      </w:r>
      <w:r w:rsidRPr="00182866">
        <w:fldChar w:fldCharType="begin"/>
      </w:r>
      <w:r w:rsidRPr="00182866">
        <w:instrText xml:space="preserve"> REF _Ref477970055 \r \h </w:instrText>
      </w:r>
      <w:r w:rsidR="00DE4EA4" w:rsidRPr="00182866">
        <w:instrText xml:space="preserve"> \* MERGEFORMAT </w:instrText>
      </w:r>
      <w:r w:rsidRPr="00182866">
        <w:fldChar w:fldCharType="separate"/>
      </w:r>
      <w:r w:rsidR="006E0E05">
        <w:t>[2]</w:t>
      </w:r>
      <w:r w:rsidRPr="00182866">
        <w:fldChar w:fldCharType="end"/>
      </w:r>
      <w:r w:rsidRPr="00182866">
        <w:t xml:space="preserve"> does not require the UE to detect radio link issues with its serving cell. We believe that this goes against the principle of network controlled mobility where the network may decide (e.g. for load reasons) not to trigger the handover based on the UE’s measurement report. </w:t>
      </w:r>
    </w:p>
    <w:p w14:paraId="081AF059" w14:textId="77777777" w:rsidR="00423DCB" w:rsidRPr="00182866" w:rsidRDefault="00423DCB" w:rsidP="00423DCB">
      <w:pPr>
        <w:pStyle w:val="Proposal"/>
      </w:pPr>
      <w:bookmarkStart w:id="4" w:name="_Toc477972467"/>
      <w:bookmarkStart w:id="5" w:name="_Toc477972562"/>
      <w:bookmarkStart w:id="6" w:name="_Toc477972632"/>
      <w:bookmarkStart w:id="7" w:name="_Toc477972662"/>
      <w:bookmarkStart w:id="8" w:name="_Toc477972946"/>
      <w:bookmarkStart w:id="9" w:name="_Toc477972981"/>
      <w:bookmarkStart w:id="10" w:name="_Toc477973006"/>
      <w:bookmarkStart w:id="11" w:name="_Toc477973016"/>
      <w:bookmarkStart w:id="12" w:name="_Toc484187654"/>
      <w:r w:rsidRPr="00182866">
        <w:t>A UE being in coverage (in-sync) of its serving cell shall not perform mobility to a neighbour cell unless it receives a corresponding handover command from its serving cell.</w:t>
      </w:r>
      <w:bookmarkEnd w:id="4"/>
      <w:bookmarkEnd w:id="5"/>
      <w:bookmarkEnd w:id="6"/>
      <w:bookmarkEnd w:id="7"/>
      <w:bookmarkEnd w:id="8"/>
      <w:bookmarkEnd w:id="9"/>
      <w:bookmarkEnd w:id="10"/>
      <w:bookmarkEnd w:id="11"/>
      <w:bookmarkEnd w:id="12"/>
      <w:r w:rsidRPr="00182866">
        <w:t xml:space="preserve"> </w:t>
      </w:r>
    </w:p>
    <w:p w14:paraId="2FF8594A" w14:textId="6AF262FB" w:rsidR="00D47284" w:rsidRPr="00182866" w:rsidRDefault="00D9780A" w:rsidP="00D47284">
      <w:r w:rsidRPr="00182866">
        <w:t xml:space="preserve">As result of the “Het-Net mobility” study item the </w:t>
      </w:r>
      <w:r w:rsidR="00DE4EA4" w:rsidRPr="00182866">
        <w:t xml:space="preserve">above-mentioned </w:t>
      </w:r>
      <w:r w:rsidRPr="00182866">
        <w:t>T312 timer</w:t>
      </w:r>
      <w:r w:rsidR="00DE4EA4" w:rsidRPr="00182866">
        <w:t xml:space="preserve"> was introduced: </w:t>
      </w:r>
      <w:r w:rsidRPr="00182866">
        <w:t xml:space="preserve">The UE shall start T312 upon triggering a measurement report for a measurement identity for which T312 has been configured, while T310 is running, i.e., when the UE discovered </w:t>
      </w:r>
      <w:r w:rsidR="00D53AC4" w:rsidRPr="00182866">
        <w:t xml:space="preserve">out-of-sync </w:t>
      </w:r>
      <w:r w:rsidRPr="00182866">
        <w:t>towards its serving cell. If T312 expires, the UE shall initiate the connection re-establishment procedure.</w:t>
      </w:r>
      <w:r w:rsidR="00DE4EA4" w:rsidRPr="00182866">
        <w:t xml:space="preserve"> </w:t>
      </w:r>
      <w:r w:rsidR="00D47284" w:rsidRPr="00182866">
        <w:t xml:space="preserve">We expect that NR anyway inherits T312 from LTE and we would be open to extend it in </w:t>
      </w:r>
      <w:r w:rsidR="00DE4EA4" w:rsidRPr="00182866">
        <w:t>the</w:t>
      </w:r>
      <w:r w:rsidR="00D47284" w:rsidRPr="00182866">
        <w:t xml:space="preserve"> way that the UE may also start T312 when detecting out-of-sync </w:t>
      </w:r>
      <w:r w:rsidR="00D47284" w:rsidRPr="00182866">
        <w:rPr>
          <w:u w:val="single"/>
        </w:rPr>
        <w:t>after</w:t>
      </w:r>
      <w:r w:rsidR="00D47284" w:rsidRPr="00182866">
        <w:t xml:space="preserve"> triggering a measurement report for a measurement identity for which T312 has been configured</w:t>
      </w:r>
      <w:r w:rsidR="00DE4EA4" w:rsidRPr="00182866">
        <w:t xml:space="preserve">. This would make it similar to the enhancement proposed in </w:t>
      </w:r>
      <w:r w:rsidR="00DE4EA4" w:rsidRPr="00182866">
        <w:fldChar w:fldCharType="begin"/>
      </w:r>
      <w:r w:rsidR="00DE4EA4" w:rsidRPr="00182866">
        <w:instrText xml:space="preserve"> REF _Ref477970055 \r \h  \* MERGEFORMAT </w:instrText>
      </w:r>
      <w:r w:rsidR="00DE4EA4" w:rsidRPr="00182866">
        <w:fldChar w:fldCharType="separate"/>
      </w:r>
      <w:r w:rsidR="006E0E05">
        <w:t>[2]</w:t>
      </w:r>
      <w:r w:rsidR="00DE4EA4" w:rsidRPr="00182866">
        <w:fldChar w:fldCharType="end"/>
      </w:r>
      <w:r w:rsidR="00DE4EA4" w:rsidRPr="00182866">
        <w:t xml:space="preserve"> but still require that the UE detects radio link problems towards its serving cell before reselecting autonomously to the target cell. </w:t>
      </w:r>
    </w:p>
    <w:p w14:paraId="53A40B8A" w14:textId="7BCE0F11" w:rsidR="00D47284" w:rsidRPr="00182866" w:rsidRDefault="00D47284" w:rsidP="00D47284">
      <w:pPr>
        <w:pStyle w:val="Observation"/>
      </w:pPr>
      <w:bookmarkStart w:id="13" w:name="_Toc477972466"/>
      <w:bookmarkStart w:id="14" w:name="_Toc477972560"/>
      <w:bookmarkStart w:id="15" w:name="_Toc477972630"/>
      <w:bookmarkStart w:id="16" w:name="_Toc477972660"/>
      <w:bookmarkStart w:id="17" w:name="_Toc477972944"/>
      <w:bookmarkStart w:id="18" w:name="_Toc477972979"/>
      <w:bookmarkStart w:id="19" w:name="_Toc477973004"/>
      <w:bookmarkStart w:id="20" w:name="_Toc477973014"/>
      <w:bookmarkStart w:id="21" w:name="_Toc484187652"/>
      <w:r w:rsidRPr="00182866">
        <w:t>NR inherits T312 functionality from LTE.</w:t>
      </w:r>
      <w:bookmarkEnd w:id="13"/>
      <w:bookmarkEnd w:id="14"/>
      <w:bookmarkEnd w:id="15"/>
      <w:bookmarkEnd w:id="16"/>
      <w:bookmarkEnd w:id="17"/>
      <w:bookmarkEnd w:id="18"/>
      <w:bookmarkEnd w:id="19"/>
      <w:bookmarkEnd w:id="20"/>
      <w:bookmarkEnd w:id="21"/>
      <w:r w:rsidRPr="00182866">
        <w:t xml:space="preserve"> </w:t>
      </w:r>
    </w:p>
    <w:p w14:paraId="2B24F783" w14:textId="30B9DA64" w:rsidR="00D47284" w:rsidRPr="00182866" w:rsidRDefault="00D47284" w:rsidP="00D47284">
      <w:pPr>
        <w:pStyle w:val="Proposal"/>
      </w:pPr>
      <w:bookmarkStart w:id="22" w:name="_Toc477972468"/>
      <w:bookmarkStart w:id="23" w:name="_Toc477972563"/>
      <w:bookmarkStart w:id="24" w:name="_Toc477972633"/>
      <w:bookmarkStart w:id="25" w:name="_Toc477972663"/>
      <w:bookmarkStart w:id="26" w:name="_Toc477972947"/>
      <w:bookmarkStart w:id="27" w:name="_Toc477972982"/>
      <w:bookmarkStart w:id="28" w:name="_Toc477973007"/>
      <w:bookmarkStart w:id="29" w:name="_Toc477973017"/>
      <w:bookmarkStart w:id="30" w:name="_Toc484187655"/>
      <w:r w:rsidRPr="00182866">
        <w:t xml:space="preserve">The NR </w:t>
      </w:r>
      <w:r w:rsidR="00DE4EA4" w:rsidRPr="00182866">
        <w:t>UE may</w:t>
      </w:r>
      <w:r w:rsidR="00D053E0">
        <w:t xml:space="preserve"> </w:t>
      </w:r>
      <w:r w:rsidR="00DE4EA4" w:rsidRPr="00182866">
        <w:t xml:space="preserve">start </w:t>
      </w:r>
      <w:r w:rsidR="00D053E0">
        <w:t>a timer</w:t>
      </w:r>
      <w:r w:rsidR="00DE4EA4" w:rsidRPr="00182866">
        <w:t xml:space="preserve"> when detecting out-of-sync </w:t>
      </w:r>
      <w:r w:rsidR="00DE4EA4" w:rsidRPr="00182866">
        <w:rPr>
          <w:u w:val="single"/>
        </w:rPr>
        <w:t>after</w:t>
      </w:r>
      <w:r w:rsidR="00DE4EA4" w:rsidRPr="00182866">
        <w:t xml:space="preserve"> </w:t>
      </w:r>
      <w:r w:rsidR="00D053E0">
        <w:t xml:space="preserve">triggering a measurement report, if such a timer has been configured </w:t>
      </w:r>
      <w:r w:rsidR="00DE4EA4" w:rsidRPr="00182866">
        <w:t xml:space="preserve">for </w:t>
      </w:r>
      <w:r w:rsidR="00D053E0">
        <w:t>that</w:t>
      </w:r>
      <w:r w:rsidR="00DE4EA4" w:rsidRPr="00182866">
        <w:t xml:space="preserve"> measurement</w:t>
      </w:r>
      <w:r w:rsidR="00D053E0">
        <w:t xml:space="preserve"> report</w:t>
      </w:r>
      <w:r w:rsidR="00DE4EA4" w:rsidRPr="00182866">
        <w:t>.</w:t>
      </w:r>
      <w:bookmarkEnd w:id="22"/>
      <w:bookmarkEnd w:id="23"/>
      <w:bookmarkEnd w:id="24"/>
      <w:bookmarkEnd w:id="25"/>
      <w:bookmarkEnd w:id="26"/>
      <w:bookmarkEnd w:id="27"/>
      <w:bookmarkEnd w:id="28"/>
      <w:bookmarkEnd w:id="29"/>
      <w:bookmarkEnd w:id="30"/>
    </w:p>
    <w:p w14:paraId="5DB30A8E" w14:textId="626D9696" w:rsidR="006C04E5" w:rsidRDefault="006C04E5" w:rsidP="006153EA">
      <w:r w:rsidRPr="00182866">
        <w:t xml:space="preserve">At RAN2-97 it was also suggested to reduce the interruption upon handover failure by avoiding that the UE must read system information from the target cell prior to the re-establishment. </w:t>
      </w:r>
      <w:r w:rsidR="006A2F2F" w:rsidRPr="00182866">
        <w:t>We agree that the pre-provisioning of SI may have a positive effect on the reestablishment delay. And in fact, it was also agreed at RAN2-96 that “</w:t>
      </w:r>
      <w:r w:rsidR="006A2F2F" w:rsidRPr="00182866">
        <w:rPr>
          <w:i/>
        </w:rPr>
        <w:t>Broadcasting some kind of index/identifier in minimum SI to enable the UE to avoid re-acquisition of already stored SI-block(s)/SI message(s). The index/identifier and associated system information can be applicable in more than one cell. System information valid in one cell may be valid also in other cells</w:t>
      </w:r>
      <w:r w:rsidR="006A2F2F" w:rsidRPr="00182866">
        <w:t>”.</w:t>
      </w:r>
      <w:r w:rsidR="006E0E05">
        <w:t xml:space="preserve"> </w:t>
      </w:r>
    </w:p>
    <w:p w14:paraId="45BF79D1" w14:textId="02A006B9" w:rsidR="00091FA9" w:rsidRDefault="00091FA9" w:rsidP="00091FA9">
      <w:pPr>
        <w:pStyle w:val="Observation"/>
      </w:pPr>
      <w:bookmarkStart w:id="31" w:name="_Toc477972561"/>
      <w:bookmarkStart w:id="32" w:name="_Toc477972631"/>
      <w:bookmarkStart w:id="33" w:name="_Toc477972661"/>
      <w:bookmarkStart w:id="34" w:name="_Toc477972945"/>
      <w:bookmarkStart w:id="35" w:name="_Toc477972980"/>
      <w:bookmarkStart w:id="36" w:name="_Toc477973005"/>
      <w:bookmarkStart w:id="37" w:name="_Toc477973015"/>
      <w:bookmarkStart w:id="38" w:name="_Toc484187653"/>
      <w:r>
        <w:t>RAN2’s agreement that one cell may provide system information for neighbour cells, may also reduce the re-establishment delay (e.g. upon HOF) since the UE may not need to re-read the entire SI from the target cell.</w:t>
      </w:r>
      <w:bookmarkEnd w:id="31"/>
      <w:bookmarkEnd w:id="32"/>
      <w:bookmarkEnd w:id="33"/>
      <w:bookmarkEnd w:id="34"/>
      <w:bookmarkEnd w:id="35"/>
      <w:bookmarkEnd w:id="36"/>
      <w:bookmarkEnd w:id="37"/>
      <w:bookmarkEnd w:id="38"/>
      <w:r>
        <w:t xml:space="preserve"> </w:t>
      </w:r>
    </w:p>
    <w:p w14:paraId="7E690B51" w14:textId="77777777" w:rsidR="00C01F33" w:rsidRPr="00CE0424" w:rsidRDefault="00C01F33" w:rsidP="00CE0424">
      <w:pPr>
        <w:pStyle w:val="Heading1"/>
      </w:pPr>
      <w:r w:rsidRPr="00CE0424">
        <w:lastRenderedPageBreak/>
        <w:t>Conclusion</w:t>
      </w:r>
    </w:p>
    <w:p w14:paraId="556077E9" w14:textId="77777777" w:rsidR="006E0E05" w:rsidRDefault="008E065E">
      <w:pPr>
        <w:pStyle w:val="TOC1"/>
      </w:pPr>
      <w:r w:rsidRPr="00C628DF">
        <w:rPr>
          <w:b w:val="0"/>
        </w:rPr>
        <w:t xml:space="preserve">In section </w:t>
      </w:r>
      <w:r w:rsidR="00885853">
        <w:rPr>
          <w:b w:val="0"/>
        </w:rPr>
        <w:fldChar w:fldCharType="begin"/>
      </w:r>
      <w:r w:rsidR="00885853">
        <w:rPr>
          <w:b w:val="0"/>
        </w:rPr>
        <w:instrText xml:space="preserve"> REF _Ref477972990 \r \h </w:instrText>
      </w:r>
      <w:r w:rsidR="00885853">
        <w:rPr>
          <w:b w:val="0"/>
        </w:rPr>
      </w:r>
      <w:r w:rsidR="00885853">
        <w:rPr>
          <w:b w:val="0"/>
        </w:rPr>
        <w:fldChar w:fldCharType="separate"/>
      </w:r>
      <w:r w:rsidR="006E0E05">
        <w:rPr>
          <w:b w:val="0"/>
        </w:rPr>
        <w:t>2</w:t>
      </w:r>
      <w:r w:rsidR="00885853">
        <w:rPr>
          <w:b w:val="0"/>
        </w:rPr>
        <w:fldChar w:fldCharType="end"/>
      </w:r>
      <w:r w:rsidR="00885853">
        <w:rPr>
          <w:b w:val="0"/>
        </w:rPr>
        <w:t xml:space="preserve"> </w:t>
      </w:r>
      <w:r w:rsidRPr="00C628DF">
        <w:rPr>
          <w:b w:val="0"/>
        </w:rPr>
        <w:t>we made the following observations:</w:t>
      </w:r>
      <w:r>
        <w:rPr>
          <w:b w:val="0"/>
          <w:bCs/>
        </w:rPr>
        <w:fldChar w:fldCharType="begin"/>
      </w:r>
      <w:r w:rsidRPr="00C628DF">
        <w:rPr>
          <w:b w:val="0"/>
          <w:bCs/>
        </w:rPr>
        <w:instrText xml:space="preserve"> TOC \f \n \t "Observation;1" </w:instrText>
      </w:r>
      <w:r>
        <w:rPr>
          <w:b w:val="0"/>
          <w:bCs/>
        </w:rPr>
        <w:fldChar w:fldCharType="separate"/>
      </w:r>
    </w:p>
    <w:p w14:paraId="70E50001" w14:textId="77777777" w:rsidR="006E0E05" w:rsidRPr="006E0E05" w:rsidRDefault="006E0E05">
      <w:pPr>
        <w:pStyle w:val="TOC1"/>
        <w:rPr>
          <w:rFonts w:asciiTheme="minorHAnsi" w:eastAsiaTheme="minorEastAsia" w:hAnsiTheme="minorHAnsi" w:cstheme="minorBidi"/>
          <w:b w:val="0"/>
          <w:sz w:val="22"/>
          <w:lang w:val="en-GB" w:eastAsia="de-DE"/>
        </w:rPr>
      </w:pPr>
      <w:r>
        <w:t>Observation 1</w:t>
      </w:r>
      <w:r w:rsidRPr="006E0E05">
        <w:rPr>
          <w:rFonts w:asciiTheme="minorHAnsi" w:eastAsiaTheme="minorEastAsia" w:hAnsiTheme="minorHAnsi" w:cstheme="minorBidi"/>
          <w:b w:val="0"/>
          <w:sz w:val="22"/>
          <w:lang w:val="en-GB" w:eastAsia="de-DE"/>
        </w:rPr>
        <w:tab/>
      </w:r>
      <w:r>
        <w:t>NR inherits T312 functionality from LTE.</w:t>
      </w:r>
    </w:p>
    <w:p w14:paraId="1C3E28D1" w14:textId="77777777" w:rsidR="006E0E05" w:rsidRPr="006E0E05" w:rsidRDefault="006E0E05">
      <w:pPr>
        <w:pStyle w:val="TOC1"/>
        <w:rPr>
          <w:rFonts w:asciiTheme="minorHAnsi" w:eastAsiaTheme="minorEastAsia" w:hAnsiTheme="minorHAnsi" w:cstheme="minorBidi"/>
          <w:b w:val="0"/>
          <w:sz w:val="22"/>
          <w:lang w:val="en-GB" w:eastAsia="de-DE"/>
        </w:rPr>
      </w:pPr>
      <w:r>
        <w:t>Observation 2</w:t>
      </w:r>
      <w:r w:rsidRPr="006E0E05">
        <w:rPr>
          <w:rFonts w:asciiTheme="minorHAnsi" w:eastAsiaTheme="minorEastAsia" w:hAnsiTheme="minorHAnsi" w:cstheme="minorBidi"/>
          <w:b w:val="0"/>
          <w:sz w:val="22"/>
          <w:lang w:val="en-GB" w:eastAsia="de-DE"/>
        </w:rPr>
        <w:tab/>
      </w:r>
      <w:r>
        <w:t>RAN2’s agreement that one cell may provide system information for neighbour cells, may also reduce the re-establishment delay (e.g. upon HOF) since the UE may not need to re-read the entire SI from the target cell.</w:t>
      </w:r>
    </w:p>
    <w:p w14:paraId="5C342F4B" w14:textId="77777777" w:rsidR="008E065E" w:rsidRDefault="008E065E" w:rsidP="008E065E">
      <w:pPr>
        <w:pStyle w:val="BodyText"/>
        <w:rPr>
          <w:b/>
          <w:bCs/>
        </w:rPr>
      </w:pPr>
      <w:r>
        <w:rPr>
          <w:b/>
          <w:bCs/>
        </w:rPr>
        <w:fldChar w:fldCharType="end"/>
      </w:r>
    </w:p>
    <w:p w14:paraId="33337747" w14:textId="77777777" w:rsidR="006E0E05" w:rsidRDefault="008E065E">
      <w:pPr>
        <w:pStyle w:val="TOC1"/>
      </w:pPr>
      <w:r w:rsidRPr="00C628DF">
        <w:rPr>
          <w:b w:val="0"/>
        </w:rPr>
        <w:t>Bas</w:t>
      </w:r>
      <w:r w:rsidR="00885853">
        <w:rPr>
          <w:b w:val="0"/>
        </w:rPr>
        <w:t xml:space="preserve">ed on the discussion in section </w:t>
      </w:r>
      <w:r w:rsidR="00885853">
        <w:rPr>
          <w:b w:val="0"/>
        </w:rPr>
        <w:fldChar w:fldCharType="begin"/>
      </w:r>
      <w:r w:rsidR="00885853">
        <w:rPr>
          <w:b w:val="0"/>
        </w:rPr>
        <w:instrText xml:space="preserve"> REF _Ref477972990 \r \h </w:instrText>
      </w:r>
      <w:r w:rsidR="00885853">
        <w:rPr>
          <w:b w:val="0"/>
        </w:rPr>
      </w:r>
      <w:r w:rsidR="00885853">
        <w:rPr>
          <w:b w:val="0"/>
        </w:rPr>
        <w:fldChar w:fldCharType="separate"/>
      </w:r>
      <w:r w:rsidR="006E0E05">
        <w:rPr>
          <w:b w:val="0"/>
        </w:rPr>
        <w:t>2</w:t>
      </w:r>
      <w:r w:rsidR="00885853">
        <w:rPr>
          <w:b w:val="0"/>
        </w:rPr>
        <w:fldChar w:fldCharType="end"/>
      </w:r>
      <w:r w:rsidR="00885853">
        <w:rPr>
          <w:b w:val="0"/>
        </w:rPr>
        <w:t xml:space="preserve"> </w:t>
      </w:r>
      <w:r w:rsidRPr="00C628DF">
        <w:rPr>
          <w:b w:val="0"/>
        </w:rPr>
        <w:t>we propose the following</w:t>
      </w:r>
      <w:r w:rsidRPr="00CE0424">
        <w:t>:</w:t>
      </w:r>
      <w:r>
        <w:rPr>
          <w:b w:val="0"/>
          <w:bCs/>
        </w:rPr>
        <w:fldChar w:fldCharType="begin"/>
      </w:r>
      <w:r>
        <w:rPr>
          <w:bCs/>
        </w:rPr>
        <w:instrText xml:space="preserve"> TOC \f \n \p " " \t "Proposal;1" </w:instrText>
      </w:r>
      <w:r>
        <w:rPr>
          <w:b w:val="0"/>
          <w:bCs/>
        </w:rPr>
        <w:fldChar w:fldCharType="separate"/>
      </w:r>
    </w:p>
    <w:p w14:paraId="5873A6CC" w14:textId="77777777" w:rsidR="006E0E05" w:rsidRPr="006E0E05" w:rsidRDefault="006E0E05">
      <w:pPr>
        <w:pStyle w:val="TOC1"/>
        <w:rPr>
          <w:rFonts w:asciiTheme="minorHAnsi" w:eastAsiaTheme="minorEastAsia" w:hAnsiTheme="minorHAnsi" w:cstheme="minorBidi"/>
          <w:b w:val="0"/>
          <w:sz w:val="22"/>
          <w:lang w:val="en-GB" w:eastAsia="de-DE"/>
        </w:rPr>
      </w:pPr>
      <w:r>
        <w:t>Proposal 1</w:t>
      </w:r>
      <w:r w:rsidRPr="006E0E05">
        <w:rPr>
          <w:rFonts w:asciiTheme="minorHAnsi" w:eastAsiaTheme="minorEastAsia" w:hAnsiTheme="minorHAnsi" w:cstheme="minorBidi"/>
          <w:b w:val="0"/>
          <w:sz w:val="22"/>
          <w:lang w:val="en-GB" w:eastAsia="de-DE"/>
        </w:rPr>
        <w:tab/>
      </w:r>
      <w:r>
        <w:t>A UE being in coverage (in-sync) of its serving cell shall not perform mobility to a neighbour cell unless it receives a corresponding handover command from its serving cell.</w:t>
      </w:r>
    </w:p>
    <w:p w14:paraId="67D2CF4D" w14:textId="7FEAD6C1" w:rsidR="006E0E05" w:rsidRPr="006E0E05" w:rsidRDefault="006E0E05">
      <w:pPr>
        <w:pStyle w:val="TOC1"/>
        <w:rPr>
          <w:rFonts w:asciiTheme="minorHAnsi" w:eastAsiaTheme="minorEastAsia" w:hAnsiTheme="minorHAnsi" w:cstheme="minorBidi"/>
          <w:b w:val="0"/>
          <w:sz w:val="22"/>
          <w:lang w:val="en-GB" w:eastAsia="de-DE"/>
        </w:rPr>
      </w:pPr>
      <w:r>
        <w:t>Proposal 2</w:t>
      </w:r>
      <w:r w:rsidRPr="006E0E05">
        <w:rPr>
          <w:rFonts w:asciiTheme="minorHAnsi" w:eastAsiaTheme="minorEastAsia" w:hAnsiTheme="minorHAnsi" w:cstheme="minorBidi"/>
          <w:b w:val="0"/>
          <w:sz w:val="22"/>
          <w:lang w:val="en-GB" w:eastAsia="de-DE"/>
        </w:rPr>
        <w:tab/>
      </w:r>
      <w:r w:rsidR="00D053E0" w:rsidRPr="00182866">
        <w:t>The NR UE may</w:t>
      </w:r>
      <w:r w:rsidR="00D053E0">
        <w:t xml:space="preserve"> </w:t>
      </w:r>
      <w:r w:rsidR="00D053E0" w:rsidRPr="00182866">
        <w:t xml:space="preserve">start </w:t>
      </w:r>
      <w:r w:rsidR="00D053E0">
        <w:t>a timer</w:t>
      </w:r>
      <w:r w:rsidR="00D053E0" w:rsidRPr="00182866">
        <w:t xml:space="preserve"> when detecting out-of-sync </w:t>
      </w:r>
      <w:r w:rsidR="00D053E0" w:rsidRPr="00182866">
        <w:rPr>
          <w:u w:val="single"/>
        </w:rPr>
        <w:t>after</w:t>
      </w:r>
      <w:r w:rsidR="00D053E0" w:rsidRPr="00182866">
        <w:t xml:space="preserve"> </w:t>
      </w:r>
      <w:r w:rsidR="00D053E0">
        <w:t xml:space="preserve">triggering a measurement report, if such a timer has been configured </w:t>
      </w:r>
      <w:r w:rsidR="00D053E0" w:rsidRPr="00182866">
        <w:t xml:space="preserve">for </w:t>
      </w:r>
      <w:r w:rsidR="00D053E0">
        <w:t>that</w:t>
      </w:r>
      <w:r w:rsidR="00D053E0" w:rsidRPr="00182866">
        <w:t xml:space="preserve"> measurement</w:t>
      </w:r>
      <w:r w:rsidR="00D053E0">
        <w:t xml:space="preserve"> report</w:t>
      </w:r>
      <w:r>
        <w:t>.</w:t>
      </w:r>
    </w:p>
    <w:p w14:paraId="0C30B33E" w14:textId="77777777" w:rsidR="00311702" w:rsidRPr="00D04434" w:rsidRDefault="008E065E" w:rsidP="00AB0BC8">
      <w:pPr>
        <w:rPr>
          <w:b/>
          <w:bCs/>
        </w:rPr>
      </w:pPr>
      <w:r>
        <w:rPr>
          <w:b/>
          <w:bCs/>
        </w:rPr>
        <w:fldChar w:fldCharType="end"/>
      </w:r>
    </w:p>
    <w:p w14:paraId="43591C01" w14:textId="77777777" w:rsidR="00C01F33" w:rsidRPr="00CE0424" w:rsidRDefault="00C01F33" w:rsidP="006E062C"/>
    <w:p w14:paraId="4C9431F6" w14:textId="77777777" w:rsidR="00F507D1" w:rsidRPr="00CE0424" w:rsidRDefault="00F507D1" w:rsidP="00CE0424">
      <w:pPr>
        <w:pStyle w:val="Heading1"/>
      </w:pPr>
      <w:bookmarkStart w:id="39" w:name="_In-sequence_SDU_delivery"/>
      <w:bookmarkEnd w:id="39"/>
      <w:r w:rsidRPr="00CE0424">
        <w:t>References</w:t>
      </w:r>
    </w:p>
    <w:bookmarkStart w:id="40" w:name="_Ref477726095"/>
    <w:p w14:paraId="586C81F6" w14:textId="1B68C084" w:rsidR="00E25A33" w:rsidRDefault="00E25A33" w:rsidP="00E25A33">
      <w:pPr>
        <w:pStyle w:val="Reference"/>
      </w:pPr>
      <w:r>
        <w:fldChar w:fldCharType="begin"/>
      </w:r>
      <w:r>
        <w:instrText xml:space="preserve"> HYPERLINK "ftp://ftp.3gpp.org/tsg_ran/WG2_RL2/TSGR2_97/Docs//R2-1700864.zip" </w:instrText>
      </w:r>
      <w:r>
        <w:fldChar w:fldCharType="separate"/>
      </w:r>
      <w:r w:rsidRPr="00E25A33">
        <w:rPr>
          <w:rStyle w:val="Hyperlink"/>
        </w:rPr>
        <w:t>R2-1700864</w:t>
      </w:r>
      <w:r>
        <w:fldChar w:fldCharType="end"/>
      </w:r>
      <w:r>
        <w:t xml:space="preserve">, </w:t>
      </w:r>
      <w:r w:rsidRPr="00E25A33">
        <w:t>Conditional Handover</w:t>
      </w:r>
      <w:r>
        <w:t xml:space="preserve">, Ericsson, RAN2-97, </w:t>
      </w:r>
      <w:r w:rsidRPr="00E25A33">
        <w:t>Athens, Greece, 13th – 17th February 2017</w:t>
      </w:r>
      <w:bookmarkEnd w:id="40"/>
    </w:p>
    <w:bookmarkStart w:id="41" w:name="_Ref477970055"/>
    <w:p w14:paraId="389DCB46" w14:textId="7006233E" w:rsidR="00E25A33" w:rsidRPr="00CE0424" w:rsidRDefault="00D53AC4" w:rsidP="00E25A33">
      <w:pPr>
        <w:pStyle w:val="Reference"/>
      </w:pPr>
      <w:r>
        <w:fldChar w:fldCharType="begin"/>
      </w:r>
      <w:r>
        <w:instrText xml:space="preserve"> HYPERLINK "ftp://ftp.3gpp.org/tsg_ran/WG2_RL2/TSGR2_97/Docs//R2-1701711.zip" </w:instrText>
      </w:r>
      <w:r>
        <w:fldChar w:fldCharType="separate"/>
      </w:r>
      <w:r w:rsidR="00E25A33" w:rsidRPr="00E25A33">
        <w:rPr>
          <w:rStyle w:val="Hyperlink"/>
        </w:rPr>
        <w:t>R2-1701711</w:t>
      </w:r>
      <w:r>
        <w:rPr>
          <w:rStyle w:val="Hyperlink"/>
        </w:rPr>
        <w:fldChar w:fldCharType="end"/>
      </w:r>
      <w:r w:rsidR="00E25A33">
        <w:t xml:space="preserve">, </w:t>
      </w:r>
      <w:r w:rsidR="00E25A33" w:rsidRPr="00E25A33">
        <w:t>NW controlled autonomous handover in single connectivity</w:t>
      </w:r>
      <w:r w:rsidR="00E25A33">
        <w:t xml:space="preserve">, </w:t>
      </w:r>
      <w:r w:rsidR="00E25A33" w:rsidRPr="00E25A33">
        <w:t>Intel Corporation</w:t>
      </w:r>
      <w:r w:rsidR="00E25A33">
        <w:t xml:space="preserve">, RAN2-97, </w:t>
      </w:r>
      <w:r w:rsidR="00E25A33" w:rsidRPr="00E25A33">
        <w:t>Athens, Greece, 13th – 17th February 2017</w:t>
      </w:r>
      <w:bookmarkEnd w:id="41"/>
      <w:r w:rsidR="00E25A33">
        <w:t xml:space="preserve"> </w:t>
      </w:r>
    </w:p>
    <w:sectPr w:rsidR="00E25A33" w:rsidRPr="00CE0424">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95B2EC" w14:textId="77777777" w:rsidR="009F65CA" w:rsidRDefault="009F65CA">
      <w:r>
        <w:separator/>
      </w:r>
    </w:p>
  </w:endnote>
  <w:endnote w:type="continuationSeparator" w:id="0">
    <w:p w14:paraId="18D75E27" w14:textId="77777777" w:rsidR="009F65CA" w:rsidRDefault="009F65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05B4D73A" w:rsidR="00D53AC4" w:rsidRDefault="00D53AC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67A14">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67A14">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A09D95" w14:textId="77777777" w:rsidR="009F65CA" w:rsidRDefault="009F65CA">
      <w:r>
        <w:separator/>
      </w:r>
    </w:p>
  </w:footnote>
  <w:footnote w:type="continuationSeparator" w:id="0">
    <w:p w14:paraId="14CDECB5" w14:textId="77777777" w:rsidR="009F65CA" w:rsidRDefault="009F65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77777777" w:rsidR="00D53AC4" w:rsidRDefault="00D53AC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2621F7"/>
    <w:multiLevelType w:val="hybridMultilevel"/>
    <w:tmpl w:val="4F747D38"/>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1"/>
  </w:num>
  <w:num w:numId="3">
    <w:abstractNumId w:val="8"/>
  </w:num>
  <w:num w:numId="4">
    <w:abstractNumId w:val="9"/>
  </w:num>
  <w:num w:numId="5">
    <w:abstractNumId w:val="5"/>
  </w:num>
  <w:num w:numId="6">
    <w:abstractNumId w:val="10"/>
  </w:num>
  <w:num w:numId="7">
    <w:abstractNumId w:val="13"/>
  </w:num>
  <w:num w:numId="8">
    <w:abstractNumId w:val="6"/>
  </w:num>
  <w:num w:numId="9">
    <w:abstractNumId w:val="4"/>
  </w:num>
  <w:num w:numId="10">
    <w:abstractNumId w:val="2"/>
  </w:num>
  <w:num w:numId="11">
    <w:abstractNumId w:val="1"/>
  </w:num>
  <w:num w:numId="12">
    <w:abstractNumId w:val="0"/>
  </w:num>
  <w:num w:numId="13">
    <w:abstractNumId w:val="12"/>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2A37"/>
    <w:rsid w:val="00006446"/>
    <w:rsid w:val="00006896"/>
    <w:rsid w:val="00006B58"/>
    <w:rsid w:val="00007CDC"/>
    <w:rsid w:val="00011B28"/>
    <w:rsid w:val="00015D15"/>
    <w:rsid w:val="0001741E"/>
    <w:rsid w:val="0002564D"/>
    <w:rsid w:val="00025ECA"/>
    <w:rsid w:val="00026510"/>
    <w:rsid w:val="00027939"/>
    <w:rsid w:val="000325B8"/>
    <w:rsid w:val="00034C15"/>
    <w:rsid w:val="00036BA1"/>
    <w:rsid w:val="000422E2"/>
    <w:rsid w:val="00042F22"/>
    <w:rsid w:val="000444EF"/>
    <w:rsid w:val="00052A07"/>
    <w:rsid w:val="000534E3"/>
    <w:rsid w:val="0005606A"/>
    <w:rsid w:val="00057117"/>
    <w:rsid w:val="000616E7"/>
    <w:rsid w:val="0006487E"/>
    <w:rsid w:val="00065E1A"/>
    <w:rsid w:val="00067548"/>
    <w:rsid w:val="00074231"/>
    <w:rsid w:val="00077E5F"/>
    <w:rsid w:val="0008036A"/>
    <w:rsid w:val="00081AE6"/>
    <w:rsid w:val="000839C7"/>
    <w:rsid w:val="000855EB"/>
    <w:rsid w:val="00085B52"/>
    <w:rsid w:val="000866F2"/>
    <w:rsid w:val="0009009F"/>
    <w:rsid w:val="00091557"/>
    <w:rsid w:val="00091FA9"/>
    <w:rsid w:val="000924C1"/>
    <w:rsid w:val="000924F0"/>
    <w:rsid w:val="00093474"/>
    <w:rsid w:val="0009510F"/>
    <w:rsid w:val="000A1B7B"/>
    <w:rsid w:val="000A56F2"/>
    <w:rsid w:val="000B2719"/>
    <w:rsid w:val="000B3A8F"/>
    <w:rsid w:val="000B4AB9"/>
    <w:rsid w:val="000B58C3"/>
    <w:rsid w:val="000B61E9"/>
    <w:rsid w:val="000C165A"/>
    <w:rsid w:val="000C26AA"/>
    <w:rsid w:val="000C2E19"/>
    <w:rsid w:val="000D0D07"/>
    <w:rsid w:val="000D4797"/>
    <w:rsid w:val="000E0527"/>
    <w:rsid w:val="000E1E92"/>
    <w:rsid w:val="000E4932"/>
    <w:rsid w:val="000F06D6"/>
    <w:rsid w:val="000F0EB1"/>
    <w:rsid w:val="000F1106"/>
    <w:rsid w:val="000F3BE9"/>
    <w:rsid w:val="000F3F6C"/>
    <w:rsid w:val="000F6DF3"/>
    <w:rsid w:val="001005FF"/>
    <w:rsid w:val="00104BCD"/>
    <w:rsid w:val="001062FB"/>
    <w:rsid w:val="001063E6"/>
    <w:rsid w:val="00107A7A"/>
    <w:rsid w:val="00113CF4"/>
    <w:rsid w:val="001153EA"/>
    <w:rsid w:val="00115643"/>
    <w:rsid w:val="00116765"/>
    <w:rsid w:val="001219F5"/>
    <w:rsid w:val="00121A20"/>
    <w:rsid w:val="00122F2E"/>
    <w:rsid w:val="0012377F"/>
    <w:rsid w:val="00124314"/>
    <w:rsid w:val="00125A7A"/>
    <w:rsid w:val="00126B4A"/>
    <w:rsid w:val="00132FD0"/>
    <w:rsid w:val="001344C0"/>
    <w:rsid w:val="001346FA"/>
    <w:rsid w:val="00135252"/>
    <w:rsid w:val="00137AB5"/>
    <w:rsid w:val="00137F0B"/>
    <w:rsid w:val="001458C3"/>
    <w:rsid w:val="001518C4"/>
    <w:rsid w:val="00151E23"/>
    <w:rsid w:val="001526E0"/>
    <w:rsid w:val="001551B5"/>
    <w:rsid w:val="00163AE6"/>
    <w:rsid w:val="001643A8"/>
    <w:rsid w:val="001659C1"/>
    <w:rsid w:val="00167A14"/>
    <w:rsid w:val="00173A8E"/>
    <w:rsid w:val="00173B39"/>
    <w:rsid w:val="00177795"/>
    <w:rsid w:val="00180CF8"/>
    <w:rsid w:val="0018143F"/>
    <w:rsid w:val="00182866"/>
    <w:rsid w:val="0018544C"/>
    <w:rsid w:val="00190AC1"/>
    <w:rsid w:val="001915AE"/>
    <w:rsid w:val="0019341A"/>
    <w:rsid w:val="00197DF9"/>
    <w:rsid w:val="001A1987"/>
    <w:rsid w:val="001A2564"/>
    <w:rsid w:val="001A43F1"/>
    <w:rsid w:val="001A6173"/>
    <w:rsid w:val="001A6CBA"/>
    <w:rsid w:val="001B0D97"/>
    <w:rsid w:val="001B5A5D"/>
    <w:rsid w:val="001C1CE5"/>
    <w:rsid w:val="001C3D2A"/>
    <w:rsid w:val="001C6495"/>
    <w:rsid w:val="001D51BA"/>
    <w:rsid w:val="001D6342"/>
    <w:rsid w:val="001D6D53"/>
    <w:rsid w:val="001E58E2"/>
    <w:rsid w:val="001E7AED"/>
    <w:rsid w:val="001F3916"/>
    <w:rsid w:val="001F54C5"/>
    <w:rsid w:val="001F58BF"/>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7543"/>
    <w:rsid w:val="002617E7"/>
    <w:rsid w:val="00261FC8"/>
    <w:rsid w:val="00262D9A"/>
    <w:rsid w:val="00264228"/>
    <w:rsid w:val="00264334"/>
    <w:rsid w:val="0026473E"/>
    <w:rsid w:val="00266214"/>
    <w:rsid w:val="00266D8A"/>
    <w:rsid w:val="00267C83"/>
    <w:rsid w:val="0027144F"/>
    <w:rsid w:val="00271F3A"/>
    <w:rsid w:val="00273278"/>
    <w:rsid w:val="002737F4"/>
    <w:rsid w:val="002805F5"/>
    <w:rsid w:val="00280751"/>
    <w:rsid w:val="0028280A"/>
    <w:rsid w:val="00284B52"/>
    <w:rsid w:val="00286ACD"/>
    <w:rsid w:val="00287838"/>
    <w:rsid w:val="002907B5"/>
    <w:rsid w:val="00292840"/>
    <w:rsid w:val="00292EB7"/>
    <w:rsid w:val="00296227"/>
    <w:rsid w:val="00296F44"/>
    <w:rsid w:val="0029777D"/>
    <w:rsid w:val="002A055E"/>
    <w:rsid w:val="002A1D4E"/>
    <w:rsid w:val="002A2869"/>
    <w:rsid w:val="002A3C85"/>
    <w:rsid w:val="002B24D6"/>
    <w:rsid w:val="002C358C"/>
    <w:rsid w:val="002C41E6"/>
    <w:rsid w:val="002C6F31"/>
    <w:rsid w:val="002D071A"/>
    <w:rsid w:val="002D34B2"/>
    <w:rsid w:val="002D7637"/>
    <w:rsid w:val="002D77AF"/>
    <w:rsid w:val="002E17F2"/>
    <w:rsid w:val="002E7CAE"/>
    <w:rsid w:val="002F2771"/>
    <w:rsid w:val="002F37A9"/>
    <w:rsid w:val="002F7C37"/>
    <w:rsid w:val="00301CE6"/>
    <w:rsid w:val="0030256B"/>
    <w:rsid w:val="0030501F"/>
    <w:rsid w:val="00307BA1"/>
    <w:rsid w:val="0031086B"/>
    <w:rsid w:val="00311702"/>
    <w:rsid w:val="00311E82"/>
    <w:rsid w:val="00313FD6"/>
    <w:rsid w:val="003143BD"/>
    <w:rsid w:val="00317B01"/>
    <w:rsid w:val="003203ED"/>
    <w:rsid w:val="00322C9F"/>
    <w:rsid w:val="00324D23"/>
    <w:rsid w:val="00331751"/>
    <w:rsid w:val="00334579"/>
    <w:rsid w:val="00335858"/>
    <w:rsid w:val="00336BDA"/>
    <w:rsid w:val="00342BD7"/>
    <w:rsid w:val="00343A07"/>
    <w:rsid w:val="00346DB5"/>
    <w:rsid w:val="003477B1"/>
    <w:rsid w:val="0035482C"/>
    <w:rsid w:val="00357380"/>
    <w:rsid w:val="00357772"/>
    <w:rsid w:val="003602D9"/>
    <w:rsid w:val="003604CE"/>
    <w:rsid w:val="00370E47"/>
    <w:rsid w:val="00373910"/>
    <w:rsid w:val="003742AC"/>
    <w:rsid w:val="00377B94"/>
    <w:rsid w:val="00377CE1"/>
    <w:rsid w:val="00385BF0"/>
    <w:rsid w:val="003939FF"/>
    <w:rsid w:val="003A2223"/>
    <w:rsid w:val="003A2A0F"/>
    <w:rsid w:val="003A45A1"/>
    <w:rsid w:val="003A5227"/>
    <w:rsid w:val="003A5B0A"/>
    <w:rsid w:val="003A6BAC"/>
    <w:rsid w:val="003A7EF3"/>
    <w:rsid w:val="003B159C"/>
    <w:rsid w:val="003B369F"/>
    <w:rsid w:val="003B36A3"/>
    <w:rsid w:val="003B7FE5"/>
    <w:rsid w:val="003C11C8"/>
    <w:rsid w:val="003C2702"/>
    <w:rsid w:val="003C7806"/>
    <w:rsid w:val="003D109F"/>
    <w:rsid w:val="003D2478"/>
    <w:rsid w:val="003D2FC4"/>
    <w:rsid w:val="003D3C45"/>
    <w:rsid w:val="003D5B1F"/>
    <w:rsid w:val="003E15FA"/>
    <w:rsid w:val="003E55E4"/>
    <w:rsid w:val="003E60EB"/>
    <w:rsid w:val="003E74E3"/>
    <w:rsid w:val="003E75BA"/>
    <w:rsid w:val="003F05C7"/>
    <w:rsid w:val="003F2CD4"/>
    <w:rsid w:val="003F6BBE"/>
    <w:rsid w:val="004000E8"/>
    <w:rsid w:val="00402E2B"/>
    <w:rsid w:val="0040512B"/>
    <w:rsid w:val="00405CA5"/>
    <w:rsid w:val="00407CD3"/>
    <w:rsid w:val="00410134"/>
    <w:rsid w:val="00410B72"/>
    <w:rsid w:val="00410F18"/>
    <w:rsid w:val="0041263E"/>
    <w:rsid w:val="00413AAC"/>
    <w:rsid w:val="00417464"/>
    <w:rsid w:val="00421105"/>
    <w:rsid w:val="00423DCB"/>
    <w:rsid w:val="004242F4"/>
    <w:rsid w:val="00427248"/>
    <w:rsid w:val="00437447"/>
    <w:rsid w:val="00440646"/>
    <w:rsid w:val="00440B16"/>
    <w:rsid w:val="00441A92"/>
    <w:rsid w:val="00443F8C"/>
    <w:rsid w:val="00444F56"/>
    <w:rsid w:val="00446488"/>
    <w:rsid w:val="004517AA"/>
    <w:rsid w:val="00452CAC"/>
    <w:rsid w:val="00457565"/>
    <w:rsid w:val="00457B71"/>
    <w:rsid w:val="00465F3A"/>
    <w:rsid w:val="00466776"/>
    <w:rsid w:val="004669E2"/>
    <w:rsid w:val="00470C31"/>
    <w:rsid w:val="004734D0"/>
    <w:rsid w:val="0047556B"/>
    <w:rsid w:val="00477768"/>
    <w:rsid w:val="00492BC5"/>
    <w:rsid w:val="004964F1"/>
    <w:rsid w:val="004A16BC"/>
    <w:rsid w:val="004A2B94"/>
    <w:rsid w:val="004A2EA2"/>
    <w:rsid w:val="004B3DDE"/>
    <w:rsid w:val="004B7C0C"/>
    <w:rsid w:val="004C3898"/>
    <w:rsid w:val="004D36B1"/>
    <w:rsid w:val="004D7EBD"/>
    <w:rsid w:val="004E2680"/>
    <w:rsid w:val="004E28F9"/>
    <w:rsid w:val="004E462E"/>
    <w:rsid w:val="004E56DC"/>
    <w:rsid w:val="004E76F4"/>
    <w:rsid w:val="004F0B4E"/>
    <w:rsid w:val="004F0B6C"/>
    <w:rsid w:val="004F2078"/>
    <w:rsid w:val="004F4DA3"/>
    <w:rsid w:val="00502913"/>
    <w:rsid w:val="00502D79"/>
    <w:rsid w:val="00506557"/>
    <w:rsid w:val="0050677A"/>
    <w:rsid w:val="005108D8"/>
    <w:rsid w:val="005116F9"/>
    <w:rsid w:val="005153A7"/>
    <w:rsid w:val="005219CF"/>
    <w:rsid w:val="00531534"/>
    <w:rsid w:val="005338D0"/>
    <w:rsid w:val="00534B59"/>
    <w:rsid w:val="00536759"/>
    <w:rsid w:val="00537C62"/>
    <w:rsid w:val="00546970"/>
    <w:rsid w:val="00554E19"/>
    <w:rsid w:val="0056121F"/>
    <w:rsid w:val="0056145F"/>
    <w:rsid w:val="00572505"/>
    <w:rsid w:val="00580202"/>
    <w:rsid w:val="00582809"/>
    <w:rsid w:val="0058798C"/>
    <w:rsid w:val="005900FA"/>
    <w:rsid w:val="005935A4"/>
    <w:rsid w:val="005948C2"/>
    <w:rsid w:val="00595DCA"/>
    <w:rsid w:val="0059779B"/>
    <w:rsid w:val="005A209A"/>
    <w:rsid w:val="005A2C72"/>
    <w:rsid w:val="005A662D"/>
    <w:rsid w:val="005B35D7"/>
    <w:rsid w:val="005B392A"/>
    <w:rsid w:val="005B3AA3"/>
    <w:rsid w:val="005B6F83"/>
    <w:rsid w:val="005C74FB"/>
    <w:rsid w:val="005D1602"/>
    <w:rsid w:val="005D2E77"/>
    <w:rsid w:val="005E385F"/>
    <w:rsid w:val="005E5B81"/>
    <w:rsid w:val="005F2CB1"/>
    <w:rsid w:val="005F3025"/>
    <w:rsid w:val="005F4D03"/>
    <w:rsid w:val="005F618C"/>
    <w:rsid w:val="005F70BD"/>
    <w:rsid w:val="005F7F4F"/>
    <w:rsid w:val="0060283C"/>
    <w:rsid w:val="00604F14"/>
    <w:rsid w:val="00605F62"/>
    <w:rsid w:val="00611B83"/>
    <w:rsid w:val="00613257"/>
    <w:rsid w:val="00614FBD"/>
    <w:rsid w:val="006153EA"/>
    <w:rsid w:val="006169E1"/>
    <w:rsid w:val="00620A71"/>
    <w:rsid w:val="00620D80"/>
    <w:rsid w:val="006234A6"/>
    <w:rsid w:val="00624D23"/>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81B"/>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2F2F"/>
    <w:rsid w:val="006A4400"/>
    <w:rsid w:val="006A46FB"/>
    <w:rsid w:val="006A5E28"/>
    <w:rsid w:val="006A697B"/>
    <w:rsid w:val="006A744A"/>
    <w:rsid w:val="006A7AFF"/>
    <w:rsid w:val="006B1816"/>
    <w:rsid w:val="006B2099"/>
    <w:rsid w:val="006B50CF"/>
    <w:rsid w:val="006C03B8"/>
    <w:rsid w:val="006C04E5"/>
    <w:rsid w:val="006C5EC9"/>
    <w:rsid w:val="006C6059"/>
    <w:rsid w:val="006C7522"/>
    <w:rsid w:val="006D6F08"/>
    <w:rsid w:val="006E062C"/>
    <w:rsid w:val="006E0982"/>
    <w:rsid w:val="006E0E05"/>
    <w:rsid w:val="006E28B7"/>
    <w:rsid w:val="006E3310"/>
    <w:rsid w:val="006E4E39"/>
    <w:rsid w:val="006E565E"/>
    <w:rsid w:val="006E673D"/>
    <w:rsid w:val="006E7D3B"/>
    <w:rsid w:val="006F1B70"/>
    <w:rsid w:val="006F341D"/>
    <w:rsid w:val="006F3CDE"/>
    <w:rsid w:val="006F58D4"/>
    <w:rsid w:val="0070346E"/>
    <w:rsid w:val="00704B91"/>
    <w:rsid w:val="00704EDB"/>
    <w:rsid w:val="0070537F"/>
    <w:rsid w:val="00706101"/>
    <w:rsid w:val="00707072"/>
    <w:rsid w:val="00707D61"/>
    <w:rsid w:val="00712287"/>
    <w:rsid w:val="00712772"/>
    <w:rsid w:val="00712A9A"/>
    <w:rsid w:val="007148D3"/>
    <w:rsid w:val="00715B9A"/>
    <w:rsid w:val="00721593"/>
    <w:rsid w:val="00726EA6"/>
    <w:rsid w:val="00727208"/>
    <w:rsid w:val="00727680"/>
    <w:rsid w:val="00732C0D"/>
    <w:rsid w:val="007348B1"/>
    <w:rsid w:val="00734B23"/>
    <w:rsid w:val="007362A6"/>
    <w:rsid w:val="00736D7D"/>
    <w:rsid w:val="00740E58"/>
    <w:rsid w:val="0074405B"/>
    <w:rsid w:val="007445A0"/>
    <w:rsid w:val="0074524B"/>
    <w:rsid w:val="00747D8B"/>
    <w:rsid w:val="00751228"/>
    <w:rsid w:val="007571E1"/>
    <w:rsid w:val="007604B2"/>
    <w:rsid w:val="00765281"/>
    <w:rsid w:val="007658F2"/>
    <w:rsid w:val="00766BAD"/>
    <w:rsid w:val="007730BD"/>
    <w:rsid w:val="007755F2"/>
    <w:rsid w:val="00776971"/>
    <w:rsid w:val="0078177E"/>
    <w:rsid w:val="0078304C"/>
    <w:rsid w:val="00783673"/>
    <w:rsid w:val="00785490"/>
    <w:rsid w:val="00786DD1"/>
    <w:rsid w:val="007925EA"/>
    <w:rsid w:val="00793CD8"/>
    <w:rsid w:val="00795C92"/>
    <w:rsid w:val="00796231"/>
    <w:rsid w:val="007A1CB3"/>
    <w:rsid w:val="007A306F"/>
    <w:rsid w:val="007A43A6"/>
    <w:rsid w:val="007A58A6"/>
    <w:rsid w:val="007A7316"/>
    <w:rsid w:val="007B3D2D"/>
    <w:rsid w:val="007B50AE"/>
    <w:rsid w:val="007B51DF"/>
    <w:rsid w:val="007C05DD"/>
    <w:rsid w:val="007C3D18"/>
    <w:rsid w:val="007C60BF"/>
    <w:rsid w:val="007C6A07"/>
    <w:rsid w:val="007C75A1"/>
    <w:rsid w:val="007C77A5"/>
    <w:rsid w:val="007D04E5"/>
    <w:rsid w:val="007D51F4"/>
    <w:rsid w:val="007D5901"/>
    <w:rsid w:val="007D61F5"/>
    <w:rsid w:val="007D7526"/>
    <w:rsid w:val="007E4610"/>
    <w:rsid w:val="007E4715"/>
    <w:rsid w:val="007E505B"/>
    <w:rsid w:val="007E7091"/>
    <w:rsid w:val="007F606A"/>
    <w:rsid w:val="00803FAE"/>
    <w:rsid w:val="0080605F"/>
    <w:rsid w:val="00807786"/>
    <w:rsid w:val="00811FCB"/>
    <w:rsid w:val="008158D6"/>
    <w:rsid w:val="00817196"/>
    <w:rsid w:val="00817EDE"/>
    <w:rsid w:val="008235DB"/>
    <w:rsid w:val="00824AB4"/>
    <w:rsid w:val="00825C42"/>
    <w:rsid w:val="00825D25"/>
    <w:rsid w:val="00827D6F"/>
    <w:rsid w:val="0083555C"/>
    <w:rsid w:val="008376AC"/>
    <w:rsid w:val="008444E8"/>
    <w:rsid w:val="00844E80"/>
    <w:rsid w:val="00846FE7"/>
    <w:rsid w:val="00850CEC"/>
    <w:rsid w:val="00853878"/>
    <w:rsid w:val="00856911"/>
    <w:rsid w:val="008677FD"/>
    <w:rsid w:val="008706D4"/>
    <w:rsid w:val="00870F8A"/>
    <w:rsid w:val="008719A4"/>
    <w:rsid w:val="00871D23"/>
    <w:rsid w:val="00874312"/>
    <w:rsid w:val="0087437C"/>
    <w:rsid w:val="00875CD7"/>
    <w:rsid w:val="00876B4D"/>
    <w:rsid w:val="00877F18"/>
    <w:rsid w:val="00885853"/>
    <w:rsid w:val="00894A88"/>
    <w:rsid w:val="00895386"/>
    <w:rsid w:val="008A1CE4"/>
    <w:rsid w:val="008A21FF"/>
    <w:rsid w:val="008A2CE2"/>
    <w:rsid w:val="008A30AC"/>
    <w:rsid w:val="008A44B8"/>
    <w:rsid w:val="008A51A8"/>
    <w:rsid w:val="008A54C7"/>
    <w:rsid w:val="008A5605"/>
    <w:rsid w:val="008A77D8"/>
    <w:rsid w:val="008B0044"/>
    <w:rsid w:val="008B0483"/>
    <w:rsid w:val="008B120C"/>
    <w:rsid w:val="008B51A0"/>
    <w:rsid w:val="008B592A"/>
    <w:rsid w:val="008B7B5C"/>
    <w:rsid w:val="008B7B94"/>
    <w:rsid w:val="008C0C99"/>
    <w:rsid w:val="008C2017"/>
    <w:rsid w:val="008C249A"/>
    <w:rsid w:val="008C4958"/>
    <w:rsid w:val="008C4BAA"/>
    <w:rsid w:val="008C6AE8"/>
    <w:rsid w:val="008C7573"/>
    <w:rsid w:val="008D2AC1"/>
    <w:rsid w:val="008D34F1"/>
    <w:rsid w:val="008D39D8"/>
    <w:rsid w:val="008D6D1A"/>
    <w:rsid w:val="008E065E"/>
    <w:rsid w:val="008E0927"/>
    <w:rsid w:val="008E1909"/>
    <w:rsid w:val="008F1EAB"/>
    <w:rsid w:val="008F33DC"/>
    <w:rsid w:val="008F477F"/>
    <w:rsid w:val="00902350"/>
    <w:rsid w:val="0090336B"/>
    <w:rsid w:val="0090378C"/>
    <w:rsid w:val="009053AA"/>
    <w:rsid w:val="00906939"/>
    <w:rsid w:val="00907DD0"/>
    <w:rsid w:val="00910B7D"/>
    <w:rsid w:val="00911DFB"/>
    <w:rsid w:val="009139D9"/>
    <w:rsid w:val="00914AD8"/>
    <w:rsid w:val="00916079"/>
    <w:rsid w:val="00917CE9"/>
    <w:rsid w:val="00920BF2"/>
    <w:rsid w:val="00922010"/>
    <w:rsid w:val="00931BD9"/>
    <w:rsid w:val="00932427"/>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A5D55"/>
    <w:rsid w:val="009B1F30"/>
    <w:rsid w:val="009B3AC2"/>
    <w:rsid w:val="009B4DF4"/>
    <w:rsid w:val="009B564E"/>
    <w:rsid w:val="009B7E87"/>
    <w:rsid w:val="009C403E"/>
    <w:rsid w:val="009C56A2"/>
    <w:rsid w:val="009D4FF0"/>
    <w:rsid w:val="009D703C"/>
    <w:rsid w:val="009D718F"/>
    <w:rsid w:val="009E068F"/>
    <w:rsid w:val="009E14E0"/>
    <w:rsid w:val="009E35DB"/>
    <w:rsid w:val="009E47A3"/>
    <w:rsid w:val="009F08F3"/>
    <w:rsid w:val="009F1ECE"/>
    <w:rsid w:val="009F344F"/>
    <w:rsid w:val="009F65CA"/>
    <w:rsid w:val="00A048A8"/>
    <w:rsid w:val="00A04F49"/>
    <w:rsid w:val="00A07855"/>
    <w:rsid w:val="00A13E54"/>
    <w:rsid w:val="00A13F0D"/>
    <w:rsid w:val="00A17F63"/>
    <w:rsid w:val="00A2193B"/>
    <w:rsid w:val="00A22278"/>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406B"/>
    <w:rsid w:val="00AA51D6"/>
    <w:rsid w:val="00AB0BC8"/>
    <w:rsid w:val="00AB11CA"/>
    <w:rsid w:val="00AB14D9"/>
    <w:rsid w:val="00AB4AB8"/>
    <w:rsid w:val="00AB655E"/>
    <w:rsid w:val="00AB72DE"/>
    <w:rsid w:val="00AB77C8"/>
    <w:rsid w:val="00AC007F"/>
    <w:rsid w:val="00AC2ECD"/>
    <w:rsid w:val="00AC3119"/>
    <w:rsid w:val="00AC49FB"/>
    <w:rsid w:val="00AC5A10"/>
    <w:rsid w:val="00AD0AA3"/>
    <w:rsid w:val="00AD3F94"/>
    <w:rsid w:val="00AD4A5A"/>
    <w:rsid w:val="00AD511E"/>
    <w:rsid w:val="00AE27AC"/>
    <w:rsid w:val="00AE40E0"/>
    <w:rsid w:val="00AE4DBA"/>
    <w:rsid w:val="00AE4F07"/>
    <w:rsid w:val="00AE6C24"/>
    <w:rsid w:val="00AF0431"/>
    <w:rsid w:val="00AF1C5D"/>
    <w:rsid w:val="00AF3E23"/>
    <w:rsid w:val="00AF42D7"/>
    <w:rsid w:val="00B006FE"/>
    <w:rsid w:val="00B007CB"/>
    <w:rsid w:val="00B02AA9"/>
    <w:rsid w:val="00B02FA3"/>
    <w:rsid w:val="00B05084"/>
    <w:rsid w:val="00B157F9"/>
    <w:rsid w:val="00B167F1"/>
    <w:rsid w:val="00B20256"/>
    <w:rsid w:val="00B20D09"/>
    <w:rsid w:val="00B25750"/>
    <w:rsid w:val="00B2763F"/>
    <w:rsid w:val="00B27AAC"/>
    <w:rsid w:val="00B30929"/>
    <w:rsid w:val="00B357EF"/>
    <w:rsid w:val="00B372AA"/>
    <w:rsid w:val="00B40445"/>
    <w:rsid w:val="00B4149F"/>
    <w:rsid w:val="00B41888"/>
    <w:rsid w:val="00B42BDB"/>
    <w:rsid w:val="00B45A52"/>
    <w:rsid w:val="00B46175"/>
    <w:rsid w:val="00B62AAA"/>
    <w:rsid w:val="00B664C7"/>
    <w:rsid w:val="00B66EFE"/>
    <w:rsid w:val="00B72B0C"/>
    <w:rsid w:val="00B739F6"/>
    <w:rsid w:val="00B75C72"/>
    <w:rsid w:val="00B81A6C"/>
    <w:rsid w:val="00B85DE5"/>
    <w:rsid w:val="00B873F3"/>
    <w:rsid w:val="00B90F73"/>
    <w:rsid w:val="00B93B59"/>
    <w:rsid w:val="00B9406A"/>
    <w:rsid w:val="00BA2280"/>
    <w:rsid w:val="00BA2A08"/>
    <w:rsid w:val="00BA56D2"/>
    <w:rsid w:val="00BA76E0"/>
    <w:rsid w:val="00BB2A25"/>
    <w:rsid w:val="00BB51E9"/>
    <w:rsid w:val="00BC03FC"/>
    <w:rsid w:val="00BC0FDC"/>
    <w:rsid w:val="00BC3053"/>
    <w:rsid w:val="00BC4D2E"/>
    <w:rsid w:val="00BD13F1"/>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16266"/>
    <w:rsid w:val="00C26FAA"/>
    <w:rsid w:val="00C279B5"/>
    <w:rsid w:val="00C27C45"/>
    <w:rsid w:val="00C3469F"/>
    <w:rsid w:val="00C3719D"/>
    <w:rsid w:val="00C54995"/>
    <w:rsid w:val="00C54D41"/>
    <w:rsid w:val="00C60783"/>
    <w:rsid w:val="00C628DF"/>
    <w:rsid w:val="00C64672"/>
    <w:rsid w:val="00C70697"/>
    <w:rsid w:val="00C72EF4"/>
    <w:rsid w:val="00C75D2F"/>
    <w:rsid w:val="00C7666B"/>
    <w:rsid w:val="00C767BE"/>
    <w:rsid w:val="00C76963"/>
    <w:rsid w:val="00C76E3C"/>
    <w:rsid w:val="00C81568"/>
    <w:rsid w:val="00C8625D"/>
    <w:rsid w:val="00C9027A"/>
    <w:rsid w:val="00C90414"/>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0A77"/>
    <w:rsid w:val="00CF1354"/>
    <w:rsid w:val="00CF3B1F"/>
    <w:rsid w:val="00CF3BF6"/>
    <w:rsid w:val="00CF625B"/>
    <w:rsid w:val="00CF687E"/>
    <w:rsid w:val="00D0349B"/>
    <w:rsid w:val="00D04434"/>
    <w:rsid w:val="00D053E0"/>
    <w:rsid w:val="00D10249"/>
    <w:rsid w:val="00D115C3"/>
    <w:rsid w:val="00D11897"/>
    <w:rsid w:val="00D13135"/>
    <w:rsid w:val="00D13E4E"/>
    <w:rsid w:val="00D239A7"/>
    <w:rsid w:val="00D23F47"/>
    <w:rsid w:val="00D3005B"/>
    <w:rsid w:val="00D36E71"/>
    <w:rsid w:val="00D37D87"/>
    <w:rsid w:val="00D40B33"/>
    <w:rsid w:val="00D4318F"/>
    <w:rsid w:val="00D438BF"/>
    <w:rsid w:val="00D440F8"/>
    <w:rsid w:val="00D47284"/>
    <w:rsid w:val="00D53AC4"/>
    <w:rsid w:val="00D546FF"/>
    <w:rsid w:val="00D55AD5"/>
    <w:rsid w:val="00D576CA"/>
    <w:rsid w:val="00D60E13"/>
    <w:rsid w:val="00D61AF5"/>
    <w:rsid w:val="00D62CD5"/>
    <w:rsid w:val="00D6435F"/>
    <w:rsid w:val="00D652B5"/>
    <w:rsid w:val="00D66155"/>
    <w:rsid w:val="00D708B0"/>
    <w:rsid w:val="00D70E73"/>
    <w:rsid w:val="00D77B1D"/>
    <w:rsid w:val="00D8021F"/>
    <w:rsid w:val="00D80383"/>
    <w:rsid w:val="00D823C6"/>
    <w:rsid w:val="00D86CA3"/>
    <w:rsid w:val="00D871CE"/>
    <w:rsid w:val="00D9196D"/>
    <w:rsid w:val="00D92982"/>
    <w:rsid w:val="00D9780A"/>
    <w:rsid w:val="00DA305E"/>
    <w:rsid w:val="00DA5007"/>
    <w:rsid w:val="00DA5417"/>
    <w:rsid w:val="00DA56E8"/>
    <w:rsid w:val="00DB0A9F"/>
    <w:rsid w:val="00DB377D"/>
    <w:rsid w:val="00DC2D36"/>
    <w:rsid w:val="00DC50F8"/>
    <w:rsid w:val="00DC53EF"/>
    <w:rsid w:val="00DC6261"/>
    <w:rsid w:val="00DD6F8D"/>
    <w:rsid w:val="00DE4EA4"/>
    <w:rsid w:val="00DE5608"/>
    <w:rsid w:val="00DE58D0"/>
    <w:rsid w:val="00DE654F"/>
    <w:rsid w:val="00DF0B6E"/>
    <w:rsid w:val="00DF15E0"/>
    <w:rsid w:val="00DF37A0"/>
    <w:rsid w:val="00DF5C56"/>
    <w:rsid w:val="00E110E7"/>
    <w:rsid w:val="00E11B20"/>
    <w:rsid w:val="00E17FA2"/>
    <w:rsid w:val="00E22330"/>
    <w:rsid w:val="00E25A33"/>
    <w:rsid w:val="00E30B5A"/>
    <w:rsid w:val="00E3123D"/>
    <w:rsid w:val="00E31461"/>
    <w:rsid w:val="00E31D43"/>
    <w:rsid w:val="00E32608"/>
    <w:rsid w:val="00E34188"/>
    <w:rsid w:val="00E345CD"/>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0DA2"/>
    <w:rsid w:val="00E8234C"/>
    <w:rsid w:val="00E83AA9"/>
    <w:rsid w:val="00E84084"/>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60B5"/>
    <w:rsid w:val="00EC648C"/>
    <w:rsid w:val="00EC71CE"/>
    <w:rsid w:val="00ED1006"/>
    <w:rsid w:val="00EF18FE"/>
    <w:rsid w:val="00EF5787"/>
    <w:rsid w:val="00EF60D0"/>
    <w:rsid w:val="00F0528D"/>
    <w:rsid w:val="00F06C67"/>
    <w:rsid w:val="00F06DFD"/>
    <w:rsid w:val="00F071D1"/>
    <w:rsid w:val="00F07533"/>
    <w:rsid w:val="00F10629"/>
    <w:rsid w:val="00F10A14"/>
    <w:rsid w:val="00F15FA5"/>
    <w:rsid w:val="00F209B7"/>
    <w:rsid w:val="00F2376F"/>
    <w:rsid w:val="00F243D8"/>
    <w:rsid w:val="00F30828"/>
    <w:rsid w:val="00F313D6"/>
    <w:rsid w:val="00F34A08"/>
    <w:rsid w:val="00F40F0C"/>
    <w:rsid w:val="00F4766C"/>
    <w:rsid w:val="00F507D1"/>
    <w:rsid w:val="00F519CE"/>
    <w:rsid w:val="00F51ADA"/>
    <w:rsid w:val="00F607C5"/>
    <w:rsid w:val="00F60DEA"/>
    <w:rsid w:val="00F6302A"/>
    <w:rsid w:val="00F64C2B"/>
    <w:rsid w:val="00F651BE"/>
    <w:rsid w:val="00F6640F"/>
    <w:rsid w:val="00F67F53"/>
    <w:rsid w:val="00F703BE"/>
    <w:rsid w:val="00F71F69"/>
    <w:rsid w:val="00F72052"/>
    <w:rsid w:val="00F72B72"/>
    <w:rsid w:val="00F74BB9"/>
    <w:rsid w:val="00F75582"/>
    <w:rsid w:val="00F75A7F"/>
    <w:rsid w:val="00F76EFA"/>
    <w:rsid w:val="00F804BE"/>
    <w:rsid w:val="00F817CE"/>
    <w:rsid w:val="00F8456C"/>
    <w:rsid w:val="00F859D8"/>
    <w:rsid w:val="00F868F5"/>
    <w:rsid w:val="00F9056A"/>
    <w:rsid w:val="00F90F8D"/>
    <w:rsid w:val="00F92782"/>
    <w:rsid w:val="00F93AA9"/>
    <w:rsid w:val="00F95F77"/>
    <w:rsid w:val="00F96985"/>
    <w:rsid w:val="00F97838"/>
    <w:rsid w:val="00FA2BB3"/>
    <w:rsid w:val="00FB4C80"/>
    <w:rsid w:val="00FB6A6A"/>
    <w:rsid w:val="00FC4AD0"/>
    <w:rsid w:val="00FC7429"/>
    <w:rsid w:val="00FD07F6"/>
    <w:rsid w:val="00FD1EC8"/>
    <w:rsid w:val="00FD3FB3"/>
    <w:rsid w:val="00FD47ED"/>
    <w:rsid w:val="00FD6EE4"/>
    <w:rsid w:val="00FD74DB"/>
    <w:rsid w:val="00FD7660"/>
    <w:rsid w:val="00FE0655"/>
    <w:rsid w:val="00FE2365"/>
    <w:rsid w:val="00FE4C7B"/>
    <w:rsid w:val="00FE7336"/>
    <w:rsid w:val="00FE787C"/>
    <w:rsid w:val="00FE7D83"/>
    <w:rsid w:val="00FF3695"/>
    <w:rsid w:val="00FF371B"/>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DE2BCABB-69C1-4636-98EC-04317B6EB6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aliases w:val="H1,h1,app heading 1,l1,Memo Heading 1,h11,h12,h13,h14,h15,h16,Heading 1_a,heading 1,h17,h111,h121,h131,h141,h151,h161,h18,h112,h122,h132,h142,h152,h162,h19,h113,h123,h133,h143,h153,h163,NMP Heading 1,Alt+1,Alt+11,Alt+12,Alt+13,标题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aliases w:val="Head2A,2,H2,UNDERRUBRIK 1-2,DO NOT USE_h2,h2,h21,Heading 2 Char,H2 Char,h2 Char,标题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317B0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标题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317B01"/>
    <w:rPr>
      <w:rFonts w:ascii="Arial" w:hAnsi="Arial" w:cs="Arial"/>
      <w:sz w:val="36"/>
      <w:szCs w:val="36"/>
      <w:lang w:val="en-GB"/>
    </w:rPr>
  </w:style>
  <w:style w:type="paragraph" w:customStyle="1" w:styleId="B1">
    <w:name w:val="B1"/>
    <w:basedOn w:val="Lis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31086B"/>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sv-SE" w:eastAsia="sv-SE"/>
    </w:rPr>
  </w:style>
  <w:style w:type="paragraph" w:styleId="ListParagraph">
    <w:name w:val="List Paragraph"/>
    <w:basedOn w:val="Normal"/>
    <w:uiPriority w:val="34"/>
    <w:qFormat/>
    <w:rsid w:val="008B7B94"/>
    <w:pPr>
      <w:ind w:left="720"/>
      <w:contextualSpacing/>
    </w:pPr>
  </w:style>
  <w:style w:type="character" w:styleId="Mention">
    <w:name w:val="Mention"/>
    <w:basedOn w:val="DefaultParagraphFont"/>
    <w:uiPriority w:val="99"/>
    <w:semiHidden/>
    <w:unhideWhenUsed/>
    <w:rsid w:val="006E0E05"/>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08b2df90-05d3-4030-90d4-c9feeb4a1cd9">5NUHHDQN7SK2-1-181163</_dlc_DocId>
    <TaxCatchAll xmlns="08b2df90-05d3-4030-90d4-c9feeb4a1cd9">
      <Value>10</Value>
      <Value>9</Value>
      <Value>8</Value>
      <Value>3</Value>
      <Value>1</Value>
    </TaxCatchAll>
    <_dlc_DocIdUrl xmlns="08b2df90-05d3-4030-90d4-c9feeb4a1cd9">
      <Url>https://ericoll.internal.ericsson.com/sites/star/_layouts/DocIdRedir.aspx?ID=5NUHHDQN7SK2-1-181163</Url>
      <Description>5NUHHDQN7SK2-1-181163</Description>
    </_dlc_DocIdUrl>
    <IconOverlay xmlns="http://schemas.microsoft.com/sharepoint/v4" xsi:nil="true"/>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D26575-DE40-4597-BF80-617C2ED6EA81}">
  <ds:schemaRefs>
    <ds:schemaRef ds:uri="http://schemas.microsoft.com/sharepoint/events"/>
  </ds:schemaRefs>
</ds:datastoreItem>
</file>

<file path=customXml/itemProps2.xml><?xml version="1.0" encoding="utf-8"?>
<ds:datastoreItem xmlns:ds="http://schemas.openxmlformats.org/officeDocument/2006/customXml" ds:itemID="{CE2768D3-7C09-489E-872D-84045F0F0C04}">
  <ds:schemaRefs>
    <ds:schemaRef ds:uri="Microsoft.SharePoint.Taxonomy.ContentTypeSync"/>
  </ds:schemaRefs>
</ds:datastoreItem>
</file>

<file path=customXml/itemProps3.xml><?xml version="1.0" encoding="utf-8"?>
<ds:datastoreItem xmlns:ds="http://schemas.openxmlformats.org/officeDocument/2006/customXml" ds:itemID="{C3F1307B-5F24-4317-BD15-C993D1054B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60107DC-5761-40F6-8E1B-3112A03859E6}">
  <ds:schemaRefs>
    <ds:schemaRef ds:uri="http://schemas.microsoft.com/office/2006/metadata/properties"/>
    <ds:schemaRef ds:uri="http://schemas.microsoft.com/office/infopath/2007/PartnerControls"/>
    <ds:schemaRef ds:uri="08b2df90-05d3-4030-90d4-c9feeb4a1cd9"/>
    <ds:schemaRef ds:uri="http://schemas.microsoft.com/sharepoint/v4"/>
    <ds:schemaRef ds:uri="7789c8df-cd92-43c1-8a83-195dbc0f0a0a"/>
  </ds:schemaRefs>
</ds:datastoreItem>
</file>

<file path=customXml/itemProps5.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6.xml><?xml version="1.0" encoding="utf-8"?>
<ds:datastoreItem xmlns:ds="http://schemas.openxmlformats.org/officeDocument/2006/customXml" ds:itemID="{8F70640E-2170-4FBF-B775-B1E586464C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0</TotalTime>
  <Pages>2</Pages>
  <Words>740</Words>
  <Characters>4224</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4955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 user</dc:creator>
  <cp:keywords>3GPP; Ericsson; TDoc</cp:keywords>
  <cp:lastModifiedBy>ERICSSON</cp:lastModifiedBy>
  <cp:revision>3</cp:revision>
  <cp:lastPrinted>2008-01-31T06:09:00Z</cp:lastPrinted>
  <dcterms:created xsi:type="dcterms:W3CDTF">2017-09-28T19:48:00Z</dcterms:created>
  <dcterms:modified xsi:type="dcterms:W3CDTF">2017-09-28T19:48:00Z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1899a15f-0f86-4db5-94c6-3efecf954754</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RN Deployment ＆ Spectrum Man|644d70e3-351b-4c06-8b80-4aa32d170e18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